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F5" w:rsidRPr="005148F5" w:rsidRDefault="005148F5" w:rsidP="005148F5">
      <w:pPr>
        <w:widowControl/>
        <w:spacing w:line="560" w:lineRule="exact"/>
        <w:jc w:val="center"/>
        <w:outlineLvl w:val="0"/>
        <w:rPr>
          <w:rFonts w:ascii="黑体" w:eastAsia="黑体" w:hAnsi="黑体" w:cs="方正小标宋_GBK"/>
          <w:kern w:val="44"/>
          <w:sz w:val="44"/>
          <w:szCs w:val="44"/>
          <w:shd w:val="clear" w:color="auto" w:fill="FFFFFF"/>
        </w:rPr>
      </w:pPr>
      <w:bookmarkStart w:id="0" w:name="_GoBack"/>
      <w:bookmarkEnd w:id="0"/>
      <w:r w:rsidRPr="005148F5">
        <w:rPr>
          <w:rFonts w:ascii="黑体" w:eastAsia="黑体" w:hAnsi="黑体" w:cs="方正小标宋_GBK"/>
          <w:kern w:val="44"/>
          <w:sz w:val="44"/>
          <w:szCs w:val="44"/>
          <w:shd w:val="clear" w:color="auto" w:fill="FFFFFF"/>
        </w:rPr>
        <w:t>浙江大学海洋学院－崂山实验室</w:t>
      </w:r>
    </w:p>
    <w:p w:rsidR="005148F5" w:rsidRDefault="005148F5" w:rsidP="005148F5">
      <w:pPr>
        <w:widowControl/>
        <w:spacing w:line="560" w:lineRule="exact"/>
        <w:jc w:val="center"/>
        <w:outlineLvl w:val="0"/>
        <w:rPr>
          <w:rFonts w:ascii="黑体" w:eastAsia="黑体" w:hAnsi="黑体" w:cs="方正小标宋_GBK"/>
          <w:kern w:val="44"/>
          <w:sz w:val="44"/>
          <w:szCs w:val="44"/>
          <w:shd w:val="clear" w:color="auto" w:fill="FFFFFF"/>
        </w:rPr>
      </w:pPr>
      <w:r w:rsidRPr="005148F5">
        <w:rPr>
          <w:rFonts w:ascii="黑体" w:eastAsia="黑体" w:hAnsi="黑体" w:cs="方正小标宋_GBK"/>
          <w:kern w:val="44"/>
          <w:sz w:val="44"/>
          <w:szCs w:val="44"/>
          <w:shd w:val="clear" w:color="auto" w:fill="FFFFFF"/>
        </w:rPr>
        <w:t>2024年联合培养博士研究生</w:t>
      </w:r>
      <w:r w:rsidR="00FB652A">
        <w:rPr>
          <w:rFonts w:ascii="黑体" w:eastAsia="黑体" w:hAnsi="黑体" w:cs="方正小标宋_GBK" w:hint="eastAsia"/>
          <w:kern w:val="44"/>
          <w:sz w:val="44"/>
          <w:szCs w:val="44"/>
          <w:shd w:val="clear" w:color="auto" w:fill="FFFFFF"/>
        </w:rPr>
        <w:t>招生简介</w:t>
      </w:r>
    </w:p>
    <w:p w:rsidR="005148F5" w:rsidRPr="005148F5" w:rsidRDefault="005148F5" w:rsidP="005148F5">
      <w:pPr>
        <w:widowControl/>
        <w:spacing w:line="560" w:lineRule="exact"/>
        <w:jc w:val="center"/>
        <w:outlineLvl w:val="0"/>
        <w:rPr>
          <w:rFonts w:ascii="黑体" w:eastAsia="黑体" w:hAnsi="黑体" w:cs="方正小标宋_GBK"/>
          <w:kern w:val="44"/>
          <w:sz w:val="44"/>
          <w:szCs w:val="44"/>
          <w:shd w:val="clear" w:color="auto" w:fill="FFFFFF"/>
        </w:rPr>
      </w:pPr>
    </w:p>
    <w:p w:rsidR="005148F5" w:rsidRDefault="005148F5" w:rsidP="005148F5">
      <w:pPr>
        <w:pStyle w:val="a3"/>
        <w:widowControl/>
        <w:spacing w:beforeAutospacing="0" w:afterAutospacing="0" w:line="560" w:lineRule="exact"/>
        <w:ind w:firstLine="562"/>
        <w:jc w:val="both"/>
        <w:rPr>
          <w:sz w:val="32"/>
          <w:szCs w:val="32"/>
        </w:rPr>
      </w:pPr>
      <w:r>
        <w:rPr>
          <w:rStyle w:val="a4"/>
          <w:rFonts w:ascii="黑体" w:eastAsia="黑体" w:hAnsi="宋体" w:cs="黑体"/>
          <w:b w:val="0"/>
          <w:sz w:val="32"/>
          <w:szCs w:val="32"/>
          <w:shd w:val="clear" w:color="auto" w:fill="FFFFFF"/>
        </w:rPr>
        <w:t>一、培养目标</w:t>
      </w:r>
    </w:p>
    <w:p w:rsidR="00E4220C" w:rsidRDefault="005148F5" w:rsidP="00E4220C">
      <w:pPr>
        <w:pStyle w:val="a3"/>
        <w:widowControl/>
        <w:spacing w:beforeAutospacing="0" w:afterAutospacing="0" w:line="560" w:lineRule="exact"/>
        <w:ind w:firstLine="56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培养德智体美劳全面发展，在海洋领域掌握坚实宽广的基础理论和系统深入的专门知识，具有独立从事科学研究工作的能力，在海洋领域能做出创造性成果的优秀青年人才。</w:t>
      </w:r>
    </w:p>
    <w:p w:rsidR="005148F5" w:rsidRDefault="005148F5" w:rsidP="005148F5">
      <w:pPr>
        <w:pStyle w:val="a3"/>
        <w:widowControl/>
        <w:spacing w:beforeAutospacing="0" w:afterAutospacing="0" w:line="560" w:lineRule="exact"/>
        <w:ind w:firstLine="562"/>
        <w:jc w:val="both"/>
        <w:rPr>
          <w:rStyle w:val="a4"/>
          <w:rFonts w:ascii="黑体" w:eastAsia="黑体" w:hAnsi="宋体" w:cs="黑体"/>
          <w:b w:val="0"/>
          <w:sz w:val="32"/>
          <w:szCs w:val="32"/>
          <w:shd w:val="clear" w:color="auto" w:fill="FFFFFF"/>
        </w:rPr>
      </w:pPr>
      <w:r>
        <w:rPr>
          <w:rStyle w:val="a4"/>
          <w:rFonts w:ascii="黑体" w:eastAsia="黑体" w:hAnsi="宋体" w:cs="黑体" w:hint="eastAsia"/>
          <w:b w:val="0"/>
          <w:sz w:val="32"/>
          <w:szCs w:val="32"/>
          <w:shd w:val="clear" w:color="auto" w:fill="FFFFFF"/>
        </w:rPr>
        <w:t>二、招生专业及名额</w:t>
      </w:r>
    </w:p>
    <w:p w:rsidR="005148F5" w:rsidRDefault="005148F5" w:rsidP="005148F5">
      <w:pPr>
        <w:pStyle w:val="a3"/>
        <w:widowControl/>
        <w:spacing w:beforeAutospacing="0" w:afterAutospacing="0" w:line="560" w:lineRule="exact"/>
        <w:ind w:firstLine="56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2024年计划招收联合培养</w:t>
      </w:r>
      <w:r w:rsidR="00FB652A">
        <w:rPr>
          <w:rFonts w:ascii="仿宋_GB2312" w:eastAsia="仿宋_GB2312" w:hAnsi="仿宋_GB2312" w:cs="仿宋_GB2312" w:hint="eastAsia"/>
          <w:sz w:val="32"/>
          <w:szCs w:val="32"/>
          <w:shd w:val="clear" w:color="auto" w:fill="FFFFFF"/>
        </w:rPr>
        <w:t>学术学位</w:t>
      </w:r>
      <w:r>
        <w:rPr>
          <w:rFonts w:ascii="仿宋_GB2312" w:eastAsia="仿宋_GB2312" w:hAnsi="仿宋_GB2312" w:cs="仿宋_GB2312" w:hint="eastAsia"/>
          <w:sz w:val="32"/>
          <w:szCs w:val="32"/>
          <w:shd w:val="clear" w:color="auto" w:fill="FFFFFF"/>
        </w:rPr>
        <w:t>博士研究生</w:t>
      </w:r>
      <w:r>
        <w:rPr>
          <w:rFonts w:ascii="仿宋_GB2312" w:eastAsia="仿宋_GB2312" w:hAnsi="仿宋_GB2312" w:cs="仿宋_GB2312"/>
          <w:sz w:val="32"/>
          <w:szCs w:val="32"/>
          <w:shd w:val="clear" w:color="auto" w:fill="FFFFFF"/>
        </w:rPr>
        <w:t>13</w:t>
      </w:r>
      <w:r>
        <w:rPr>
          <w:rFonts w:ascii="仿宋_GB2312" w:eastAsia="仿宋_GB2312" w:hAnsi="仿宋_GB2312" w:cs="仿宋_GB2312" w:hint="eastAsia"/>
          <w:sz w:val="32"/>
          <w:szCs w:val="32"/>
          <w:shd w:val="clear" w:color="auto" w:fill="FFFFFF"/>
        </w:rPr>
        <w:t>名。</w:t>
      </w:r>
    </w:p>
    <w:tbl>
      <w:tblPr>
        <w:tblpPr w:leftFromText="180" w:rightFromText="180" w:vertAnchor="text" w:tblpXSpec="center" w:tblpY="1"/>
        <w:tblOverlap w:val="never"/>
        <w:tblW w:w="822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14"/>
        <w:gridCol w:w="2268"/>
        <w:gridCol w:w="1701"/>
        <w:gridCol w:w="1985"/>
        <w:gridCol w:w="1554"/>
      </w:tblGrid>
      <w:tr w:rsidR="005148F5" w:rsidTr="00FB652A">
        <w:trPr>
          <w:trHeight w:val="570"/>
        </w:trPr>
        <w:tc>
          <w:tcPr>
            <w:tcW w:w="714" w:type="dxa"/>
            <w:vAlign w:val="center"/>
          </w:tcPr>
          <w:p w:rsidR="005148F5" w:rsidRDefault="005148F5" w:rsidP="00DA688E">
            <w:pPr>
              <w:widowControl/>
              <w:adjustRightInd w:val="0"/>
              <w:snapToGrid w:val="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序号</w:t>
            </w:r>
          </w:p>
        </w:tc>
        <w:tc>
          <w:tcPr>
            <w:tcW w:w="2268" w:type="dxa"/>
            <w:vAlign w:val="center"/>
          </w:tcPr>
          <w:p w:rsidR="005148F5" w:rsidRDefault="005148F5" w:rsidP="00DA688E">
            <w:pPr>
              <w:widowControl/>
              <w:adjustRightInd w:val="0"/>
              <w:snapToGrid w:val="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招生专业</w:t>
            </w:r>
          </w:p>
        </w:tc>
        <w:tc>
          <w:tcPr>
            <w:tcW w:w="1701" w:type="dxa"/>
            <w:vAlign w:val="center"/>
          </w:tcPr>
          <w:p w:rsidR="005148F5" w:rsidRDefault="005148F5" w:rsidP="00DA688E">
            <w:pPr>
              <w:widowControl/>
              <w:adjustRightInd w:val="0"/>
              <w:snapToGrid w:val="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实验室导师</w:t>
            </w:r>
          </w:p>
        </w:tc>
        <w:tc>
          <w:tcPr>
            <w:tcW w:w="1985" w:type="dxa"/>
            <w:vAlign w:val="center"/>
          </w:tcPr>
          <w:p w:rsidR="005148F5" w:rsidRDefault="00FB652A" w:rsidP="00DA688E">
            <w:pPr>
              <w:widowControl/>
              <w:adjustRightInd w:val="0"/>
              <w:snapToGrid w:val="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学校导师</w:t>
            </w:r>
          </w:p>
        </w:tc>
        <w:tc>
          <w:tcPr>
            <w:tcW w:w="1554" w:type="dxa"/>
            <w:vAlign w:val="center"/>
          </w:tcPr>
          <w:p w:rsidR="005148F5" w:rsidRDefault="005148F5" w:rsidP="00DA688E">
            <w:pPr>
              <w:widowControl/>
              <w:adjustRightInd w:val="0"/>
              <w:snapToGrid w:val="0"/>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招收计划</w:t>
            </w:r>
          </w:p>
        </w:tc>
      </w:tr>
      <w:tr w:rsidR="00FB652A" w:rsidTr="00FB652A">
        <w:trPr>
          <w:trHeight w:val="285"/>
        </w:trPr>
        <w:tc>
          <w:tcPr>
            <w:tcW w:w="714"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kern w:val="0"/>
                <w:sz w:val="28"/>
                <w:szCs w:val="28"/>
                <w:shd w:val="clear" w:color="auto" w:fill="FFFFFF"/>
              </w:rPr>
              <w:t>1</w:t>
            </w:r>
          </w:p>
        </w:tc>
        <w:tc>
          <w:tcPr>
            <w:tcW w:w="2268" w:type="dxa"/>
            <w:vMerge w:val="restart"/>
            <w:noWrap/>
            <w:vAlign w:val="center"/>
          </w:tcPr>
          <w:p w:rsidR="00FB652A" w:rsidRDefault="00FB652A" w:rsidP="00FB652A">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海洋技术与工程</w:t>
            </w:r>
          </w:p>
        </w:tc>
        <w:tc>
          <w:tcPr>
            <w:tcW w:w="1701" w:type="dxa"/>
            <w:noWrap/>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刘海龙</w:t>
            </w:r>
          </w:p>
        </w:tc>
        <w:tc>
          <w:tcPr>
            <w:tcW w:w="1985"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熊学军</w:t>
            </w:r>
          </w:p>
        </w:tc>
        <w:tc>
          <w:tcPr>
            <w:tcW w:w="1554" w:type="dxa"/>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2</w:t>
            </w:r>
          </w:p>
        </w:tc>
      </w:tr>
      <w:tr w:rsidR="00FB652A" w:rsidTr="00FB652A">
        <w:trPr>
          <w:trHeight w:val="285"/>
        </w:trPr>
        <w:tc>
          <w:tcPr>
            <w:tcW w:w="714"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kern w:val="0"/>
                <w:sz w:val="28"/>
                <w:szCs w:val="28"/>
                <w:shd w:val="clear" w:color="auto" w:fill="FFFFFF"/>
              </w:rPr>
              <w:t>2</w:t>
            </w:r>
          </w:p>
        </w:tc>
        <w:tc>
          <w:tcPr>
            <w:tcW w:w="2268" w:type="dxa"/>
            <w:vMerge/>
            <w:noWrap/>
            <w:vAlign w:val="center"/>
          </w:tcPr>
          <w:p w:rsidR="00FB652A" w:rsidRDefault="00FB652A" w:rsidP="00580E73">
            <w:pPr>
              <w:jc w:val="center"/>
              <w:rPr>
                <w:rFonts w:ascii="仿宋_GB2312" w:eastAsia="仿宋_GB2312" w:hAnsi="仿宋_GB2312" w:cs="仿宋_GB2312"/>
                <w:kern w:val="0"/>
                <w:sz w:val="28"/>
                <w:szCs w:val="28"/>
                <w:shd w:val="clear" w:color="auto" w:fill="FFFFFF"/>
              </w:rPr>
            </w:pPr>
          </w:p>
        </w:tc>
        <w:tc>
          <w:tcPr>
            <w:tcW w:w="1701" w:type="dxa"/>
            <w:noWrap/>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唐  波</w:t>
            </w:r>
          </w:p>
        </w:tc>
        <w:tc>
          <w:tcPr>
            <w:tcW w:w="1985"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马忠俊</w:t>
            </w:r>
          </w:p>
        </w:tc>
        <w:tc>
          <w:tcPr>
            <w:tcW w:w="1554" w:type="dxa"/>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2</w:t>
            </w:r>
          </w:p>
        </w:tc>
      </w:tr>
      <w:tr w:rsidR="00FB652A" w:rsidTr="00FB652A">
        <w:trPr>
          <w:trHeight w:val="285"/>
        </w:trPr>
        <w:tc>
          <w:tcPr>
            <w:tcW w:w="714"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kern w:val="0"/>
                <w:sz w:val="28"/>
                <w:szCs w:val="28"/>
                <w:shd w:val="clear" w:color="auto" w:fill="FFFFFF"/>
              </w:rPr>
              <w:t>3</w:t>
            </w:r>
          </w:p>
        </w:tc>
        <w:tc>
          <w:tcPr>
            <w:tcW w:w="2268" w:type="dxa"/>
            <w:vMerge/>
            <w:noWrap/>
            <w:vAlign w:val="center"/>
          </w:tcPr>
          <w:p w:rsidR="00FB652A" w:rsidRDefault="00FB652A" w:rsidP="00580E73">
            <w:pPr>
              <w:jc w:val="center"/>
              <w:rPr>
                <w:rFonts w:ascii="仿宋_GB2312" w:eastAsia="仿宋_GB2312" w:hAnsi="仿宋_GB2312" w:cs="仿宋_GB2312"/>
                <w:kern w:val="0"/>
                <w:sz w:val="28"/>
                <w:szCs w:val="28"/>
                <w:shd w:val="clear" w:color="auto" w:fill="FFFFFF"/>
              </w:rPr>
            </w:pPr>
          </w:p>
        </w:tc>
        <w:tc>
          <w:tcPr>
            <w:tcW w:w="1701" w:type="dxa"/>
            <w:noWrap/>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张  霄</w:t>
            </w:r>
          </w:p>
        </w:tc>
        <w:tc>
          <w:tcPr>
            <w:tcW w:w="1985"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梅国雄</w:t>
            </w:r>
          </w:p>
        </w:tc>
        <w:tc>
          <w:tcPr>
            <w:tcW w:w="1554" w:type="dxa"/>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2</w:t>
            </w:r>
          </w:p>
        </w:tc>
      </w:tr>
      <w:tr w:rsidR="00FB652A" w:rsidTr="00FB652A">
        <w:trPr>
          <w:trHeight w:val="285"/>
        </w:trPr>
        <w:tc>
          <w:tcPr>
            <w:tcW w:w="714"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kern w:val="0"/>
                <w:sz w:val="28"/>
                <w:szCs w:val="28"/>
                <w:shd w:val="clear" w:color="auto" w:fill="FFFFFF"/>
              </w:rPr>
              <w:t>4</w:t>
            </w:r>
          </w:p>
        </w:tc>
        <w:tc>
          <w:tcPr>
            <w:tcW w:w="2268" w:type="dxa"/>
            <w:vMerge/>
            <w:noWrap/>
            <w:vAlign w:val="center"/>
          </w:tcPr>
          <w:p w:rsidR="00FB652A" w:rsidRDefault="00FB652A" w:rsidP="00580E73">
            <w:pPr>
              <w:jc w:val="center"/>
              <w:rPr>
                <w:rFonts w:ascii="仿宋_GB2312" w:eastAsia="仿宋_GB2312" w:hAnsi="仿宋_GB2312" w:cs="仿宋_GB2312"/>
                <w:kern w:val="0"/>
                <w:sz w:val="28"/>
                <w:szCs w:val="28"/>
                <w:shd w:val="clear" w:color="auto" w:fill="FFFFFF"/>
              </w:rPr>
            </w:pPr>
          </w:p>
        </w:tc>
        <w:tc>
          <w:tcPr>
            <w:tcW w:w="1701" w:type="dxa"/>
            <w:noWrap/>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于际民</w:t>
            </w:r>
          </w:p>
        </w:tc>
        <w:tc>
          <w:tcPr>
            <w:tcW w:w="1985"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李春峰</w:t>
            </w:r>
          </w:p>
        </w:tc>
        <w:tc>
          <w:tcPr>
            <w:tcW w:w="1554" w:type="dxa"/>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hint="eastAsia"/>
                <w:kern w:val="0"/>
                <w:sz w:val="28"/>
                <w:szCs w:val="28"/>
                <w:shd w:val="clear" w:color="auto" w:fill="FFFFFF"/>
              </w:rPr>
              <w:t>2</w:t>
            </w:r>
          </w:p>
        </w:tc>
      </w:tr>
      <w:tr w:rsidR="00FB652A" w:rsidTr="00FB652A">
        <w:trPr>
          <w:trHeight w:val="285"/>
        </w:trPr>
        <w:tc>
          <w:tcPr>
            <w:tcW w:w="714"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kern w:val="0"/>
                <w:sz w:val="28"/>
                <w:szCs w:val="28"/>
                <w:shd w:val="clear" w:color="auto" w:fill="FFFFFF"/>
              </w:rPr>
              <w:t>5</w:t>
            </w:r>
          </w:p>
        </w:tc>
        <w:tc>
          <w:tcPr>
            <w:tcW w:w="2268" w:type="dxa"/>
            <w:vMerge/>
            <w:noWrap/>
            <w:vAlign w:val="center"/>
          </w:tcPr>
          <w:p w:rsidR="00FB652A" w:rsidRDefault="00FB652A" w:rsidP="00580E73">
            <w:pPr>
              <w:jc w:val="center"/>
              <w:rPr>
                <w:rFonts w:ascii="仿宋_GB2312" w:eastAsia="仿宋_GB2312" w:hAnsi="仿宋_GB2312" w:cs="仿宋_GB2312"/>
                <w:kern w:val="0"/>
                <w:sz w:val="28"/>
                <w:szCs w:val="28"/>
                <w:shd w:val="clear" w:color="auto" w:fill="FFFFFF"/>
              </w:rPr>
            </w:pPr>
          </w:p>
        </w:tc>
        <w:tc>
          <w:tcPr>
            <w:tcW w:w="1701" w:type="dxa"/>
            <w:noWrap/>
            <w:vAlign w:val="center"/>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牛耀龄</w:t>
            </w:r>
          </w:p>
        </w:tc>
        <w:tc>
          <w:tcPr>
            <w:tcW w:w="1985" w:type="dxa"/>
            <w:vAlign w:val="center"/>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李春峰</w:t>
            </w:r>
          </w:p>
        </w:tc>
        <w:tc>
          <w:tcPr>
            <w:tcW w:w="1554" w:type="dxa"/>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2</w:t>
            </w:r>
          </w:p>
        </w:tc>
      </w:tr>
      <w:tr w:rsidR="00FB652A" w:rsidTr="00FB652A">
        <w:trPr>
          <w:trHeight w:val="285"/>
        </w:trPr>
        <w:tc>
          <w:tcPr>
            <w:tcW w:w="714"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kern w:val="0"/>
                <w:sz w:val="28"/>
                <w:szCs w:val="28"/>
                <w:shd w:val="clear" w:color="auto" w:fill="FFFFFF"/>
              </w:rPr>
              <w:t>6</w:t>
            </w:r>
          </w:p>
        </w:tc>
        <w:tc>
          <w:tcPr>
            <w:tcW w:w="2268" w:type="dxa"/>
            <w:vMerge/>
            <w:noWrap/>
            <w:vAlign w:val="center"/>
          </w:tcPr>
          <w:p w:rsidR="00FB652A" w:rsidRDefault="00FB652A" w:rsidP="00580E73">
            <w:pPr>
              <w:jc w:val="center"/>
              <w:rPr>
                <w:rFonts w:ascii="仿宋_GB2312" w:eastAsia="仿宋_GB2312" w:hAnsi="仿宋_GB2312" w:cs="仿宋_GB2312"/>
                <w:kern w:val="0"/>
                <w:sz w:val="28"/>
                <w:szCs w:val="28"/>
                <w:shd w:val="clear" w:color="auto" w:fill="FFFFFF"/>
              </w:rPr>
            </w:pPr>
          </w:p>
        </w:tc>
        <w:tc>
          <w:tcPr>
            <w:tcW w:w="1701" w:type="dxa"/>
            <w:noWrap/>
            <w:vAlign w:val="center"/>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唐军武</w:t>
            </w:r>
          </w:p>
        </w:tc>
        <w:tc>
          <w:tcPr>
            <w:tcW w:w="1985" w:type="dxa"/>
            <w:vAlign w:val="center"/>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陈  鹰</w:t>
            </w:r>
          </w:p>
        </w:tc>
        <w:tc>
          <w:tcPr>
            <w:tcW w:w="1554" w:type="dxa"/>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2</w:t>
            </w:r>
          </w:p>
        </w:tc>
      </w:tr>
      <w:tr w:rsidR="00FB652A" w:rsidTr="00FB652A">
        <w:trPr>
          <w:trHeight w:val="285"/>
        </w:trPr>
        <w:tc>
          <w:tcPr>
            <w:tcW w:w="714" w:type="dxa"/>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r>
              <w:rPr>
                <w:rFonts w:ascii="仿宋_GB2312" w:eastAsia="仿宋_GB2312" w:hAnsi="仿宋_GB2312" w:cs="仿宋_GB2312"/>
                <w:kern w:val="0"/>
                <w:sz w:val="28"/>
                <w:szCs w:val="28"/>
                <w:shd w:val="clear" w:color="auto" w:fill="FFFFFF"/>
              </w:rPr>
              <w:t>7</w:t>
            </w:r>
          </w:p>
        </w:tc>
        <w:tc>
          <w:tcPr>
            <w:tcW w:w="2268" w:type="dxa"/>
            <w:vMerge/>
            <w:noWrap/>
            <w:vAlign w:val="center"/>
          </w:tcPr>
          <w:p w:rsidR="00FB652A" w:rsidRDefault="00FB652A" w:rsidP="00DA688E">
            <w:pPr>
              <w:widowControl/>
              <w:jc w:val="center"/>
              <w:rPr>
                <w:rFonts w:ascii="仿宋_GB2312" w:eastAsia="仿宋_GB2312" w:hAnsi="仿宋_GB2312" w:cs="仿宋_GB2312"/>
                <w:kern w:val="0"/>
                <w:sz w:val="28"/>
                <w:szCs w:val="28"/>
                <w:shd w:val="clear" w:color="auto" w:fill="FFFFFF"/>
              </w:rPr>
            </w:pPr>
          </w:p>
        </w:tc>
        <w:tc>
          <w:tcPr>
            <w:tcW w:w="1701" w:type="dxa"/>
            <w:noWrap/>
            <w:vAlign w:val="center"/>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吴能友</w:t>
            </w:r>
          </w:p>
        </w:tc>
        <w:tc>
          <w:tcPr>
            <w:tcW w:w="1985" w:type="dxa"/>
            <w:vAlign w:val="center"/>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王立忠</w:t>
            </w:r>
          </w:p>
        </w:tc>
        <w:tc>
          <w:tcPr>
            <w:tcW w:w="1554" w:type="dxa"/>
          </w:tcPr>
          <w:p w:rsidR="00FB652A" w:rsidRDefault="00FB652A" w:rsidP="00DA688E">
            <w:pPr>
              <w:widowControl/>
              <w:jc w:val="center"/>
              <w:rPr>
                <w:rFonts w:ascii="仿宋_GB2312" w:eastAsia="仿宋_GB2312" w:hAnsi="仿宋_GB2312" w:cs="仿宋_GB2312"/>
                <w:color w:val="000000"/>
                <w:kern w:val="0"/>
                <w:sz w:val="28"/>
                <w:szCs w:val="28"/>
                <w:shd w:val="clear" w:color="auto" w:fill="FFFFFF"/>
              </w:rPr>
            </w:pPr>
            <w:r>
              <w:rPr>
                <w:rFonts w:ascii="仿宋_GB2312" w:eastAsia="仿宋_GB2312" w:hAnsi="仿宋_GB2312" w:cs="仿宋_GB2312" w:hint="eastAsia"/>
                <w:color w:val="000000"/>
                <w:kern w:val="0"/>
                <w:sz w:val="28"/>
                <w:szCs w:val="28"/>
                <w:shd w:val="clear" w:color="auto" w:fill="FFFFFF"/>
              </w:rPr>
              <w:t>1</w:t>
            </w:r>
          </w:p>
        </w:tc>
      </w:tr>
    </w:tbl>
    <w:p w:rsidR="005148F5" w:rsidRDefault="005148F5" w:rsidP="005148F5">
      <w:pPr>
        <w:pStyle w:val="a3"/>
        <w:widowControl/>
        <w:spacing w:beforeAutospacing="0" w:afterAutospacing="0" w:line="560" w:lineRule="exact"/>
        <w:jc w:val="both"/>
        <w:rPr>
          <w:rFonts w:ascii="仿宋_GB2312" w:eastAsia="仿宋_GB2312" w:hAnsi="仿宋_GB2312" w:cs="仿宋_GB2312"/>
          <w:sz w:val="32"/>
          <w:szCs w:val="32"/>
          <w:shd w:val="clear" w:color="auto" w:fill="FFFFFF"/>
        </w:rPr>
      </w:pPr>
    </w:p>
    <w:p w:rsidR="005148F5" w:rsidRDefault="005148F5" w:rsidP="005148F5">
      <w:pPr>
        <w:pStyle w:val="a3"/>
        <w:widowControl/>
        <w:spacing w:beforeAutospacing="0" w:afterAutospacing="0" w:line="560" w:lineRule="exact"/>
        <w:ind w:firstLine="562"/>
        <w:jc w:val="both"/>
        <w:rPr>
          <w:rStyle w:val="a4"/>
          <w:rFonts w:ascii="黑体" w:eastAsia="黑体" w:hAnsi="宋体" w:cs="黑体"/>
          <w:b w:val="0"/>
          <w:sz w:val="32"/>
          <w:szCs w:val="32"/>
          <w:shd w:val="clear" w:color="auto" w:fill="FFFFFF"/>
        </w:rPr>
      </w:pPr>
      <w:r>
        <w:rPr>
          <w:rStyle w:val="a4"/>
          <w:rFonts w:ascii="黑体" w:eastAsia="黑体" w:hAnsi="宋体" w:cs="黑体" w:hint="eastAsia"/>
          <w:b w:val="0"/>
          <w:sz w:val="32"/>
          <w:szCs w:val="32"/>
          <w:shd w:val="clear" w:color="auto" w:fill="FFFFFF"/>
        </w:rPr>
        <w:t>三、学习方式及学位授予</w:t>
      </w:r>
    </w:p>
    <w:p w:rsidR="005148F5" w:rsidRDefault="005148F5" w:rsidP="005148F5">
      <w:pPr>
        <w:widowControl/>
        <w:adjustRightInd w:val="0"/>
        <w:snapToGrid w:val="0"/>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rPr>
        <w:t>学习方式：全日制；就业方式：非定向；</w:t>
      </w:r>
      <w:r>
        <w:rPr>
          <w:rFonts w:ascii="仿宋_GB2312" w:eastAsia="仿宋_GB2312" w:hint="eastAsia"/>
          <w:color w:val="333333"/>
          <w:sz w:val="32"/>
          <w:szCs w:val="32"/>
          <w:shd w:val="clear" w:color="auto" w:fill="FFFFFF"/>
        </w:rPr>
        <w:t>硕博连读生学制是硕士阶段与博士阶段合计5年；普博生学制</w:t>
      </w:r>
      <w:r>
        <w:rPr>
          <w:rFonts w:ascii="仿宋_GB2312" w:eastAsia="仿宋_GB2312"/>
          <w:color w:val="333333"/>
          <w:sz w:val="32"/>
          <w:szCs w:val="32"/>
          <w:shd w:val="clear" w:color="auto" w:fill="FFFFFF"/>
        </w:rPr>
        <w:t>3.5</w:t>
      </w:r>
      <w:r>
        <w:rPr>
          <w:rFonts w:ascii="仿宋_GB2312" w:eastAsia="仿宋_GB2312" w:hint="eastAsia"/>
          <w:color w:val="333333"/>
          <w:sz w:val="32"/>
          <w:szCs w:val="32"/>
          <w:shd w:val="clear" w:color="auto" w:fill="FFFFFF"/>
        </w:rPr>
        <w:t>年</w:t>
      </w:r>
      <w:r>
        <w:rPr>
          <w:rFonts w:ascii="仿宋_GB2312" w:eastAsia="仿宋_GB2312" w:hAnsi="仿宋_GB2312" w:cs="仿宋_GB2312" w:hint="eastAsia"/>
          <w:sz w:val="32"/>
          <w:szCs w:val="32"/>
          <w:shd w:val="clear" w:color="auto" w:fill="FFFFFF"/>
        </w:rPr>
        <w:t>。</w:t>
      </w:r>
    </w:p>
    <w:p w:rsidR="00E4220C" w:rsidRDefault="005148F5" w:rsidP="00E4220C">
      <w:pPr>
        <w:widowControl/>
        <w:adjustRightInd w:val="0"/>
        <w:snapToGrid w:val="0"/>
        <w:spacing w:line="560" w:lineRule="exact"/>
        <w:ind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2.联合培养分两个阶段：第一阶段课程学习，主要在浙江大学舟山校区完成；第二阶段科学研究和论文撰写，主要</w:t>
      </w:r>
      <w:r>
        <w:rPr>
          <w:rFonts w:ascii="仿宋_GB2312" w:eastAsia="仿宋_GB2312" w:hAnsi="仿宋_GB2312" w:cs="仿宋_GB2312" w:hint="eastAsia"/>
          <w:sz w:val="32"/>
          <w:szCs w:val="32"/>
          <w:shd w:val="clear" w:color="auto" w:fill="FFFFFF"/>
        </w:rPr>
        <w:lastRenderedPageBreak/>
        <w:t>在崂山实验室完成。符合浙江大学毕业及学位授予条件者，由浙江大学发放毕业证书，授予学位。</w:t>
      </w:r>
    </w:p>
    <w:p w:rsidR="005148F5" w:rsidRDefault="005148F5" w:rsidP="005148F5">
      <w:pPr>
        <w:pStyle w:val="a3"/>
        <w:widowControl/>
        <w:adjustRightInd w:val="0"/>
        <w:snapToGrid w:val="0"/>
        <w:spacing w:beforeAutospacing="0" w:afterAutospacing="0" w:line="560" w:lineRule="exact"/>
        <w:ind w:firstLine="562"/>
        <w:jc w:val="both"/>
        <w:rPr>
          <w:rStyle w:val="a4"/>
          <w:rFonts w:ascii="黑体" w:eastAsia="黑体" w:hAnsi="宋体" w:cs="黑体"/>
          <w:b w:val="0"/>
          <w:sz w:val="32"/>
          <w:szCs w:val="32"/>
          <w:shd w:val="clear" w:color="auto" w:fill="FFFFFF"/>
        </w:rPr>
      </w:pPr>
      <w:r>
        <w:rPr>
          <w:rStyle w:val="a4"/>
          <w:rFonts w:ascii="黑体" w:eastAsia="黑体" w:hAnsi="宋体" w:cs="黑体" w:hint="eastAsia"/>
          <w:b w:val="0"/>
          <w:sz w:val="32"/>
          <w:szCs w:val="32"/>
          <w:shd w:val="clear" w:color="auto" w:fill="FFFFFF"/>
        </w:rPr>
        <w:t>四、项目优势</w:t>
      </w:r>
    </w:p>
    <w:p w:rsidR="005148F5" w:rsidRDefault="005148F5" w:rsidP="005148F5">
      <w:pPr>
        <w:pStyle w:val="a3"/>
        <w:widowControl/>
        <w:shd w:val="clear" w:color="auto" w:fill="FFFFFF"/>
        <w:adjustRightInd w:val="0"/>
        <w:snapToGrid w:val="0"/>
        <w:spacing w:beforeAutospacing="0" w:afterAutospacing="0" w:line="560" w:lineRule="exact"/>
        <w:ind w:firstLine="56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1.崂山实验室为联合培养博士研究生提供直接参与国家重大战略任务的机会。</w:t>
      </w:r>
    </w:p>
    <w:p w:rsidR="005148F5" w:rsidRDefault="005148F5" w:rsidP="005148F5">
      <w:pPr>
        <w:pStyle w:val="a3"/>
        <w:widowControl/>
        <w:shd w:val="clear" w:color="auto" w:fill="FFFFFF"/>
        <w:spacing w:beforeAutospacing="0" w:afterAutospacing="0" w:line="560" w:lineRule="exact"/>
        <w:ind w:firstLine="56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2.崂山实验室为联合培养博士研究生提供优厚的科研绩效。</w:t>
      </w:r>
    </w:p>
    <w:p w:rsidR="005148F5" w:rsidRDefault="005148F5" w:rsidP="005148F5">
      <w:pPr>
        <w:pStyle w:val="a3"/>
        <w:widowControl/>
        <w:shd w:val="clear" w:color="auto" w:fill="FFFFFF"/>
        <w:spacing w:beforeAutospacing="0" w:afterAutospacing="0" w:line="560" w:lineRule="exact"/>
        <w:ind w:firstLine="560"/>
        <w:jc w:val="both"/>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3.表现优秀的联合培养博士研究生在毕业后可被崂山实验室优先录用。</w:t>
      </w:r>
    </w:p>
    <w:p w:rsidR="00F54A75" w:rsidRPr="005148F5" w:rsidRDefault="00F54A75"/>
    <w:sectPr w:rsidR="00F54A75" w:rsidRPr="00514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C1B" w:rsidRDefault="00EC0C1B" w:rsidP="00FB652A">
      <w:r>
        <w:separator/>
      </w:r>
    </w:p>
  </w:endnote>
  <w:endnote w:type="continuationSeparator" w:id="0">
    <w:p w:rsidR="00EC0C1B" w:rsidRDefault="00EC0C1B" w:rsidP="00FB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C1B" w:rsidRDefault="00EC0C1B" w:rsidP="00FB652A">
      <w:r>
        <w:separator/>
      </w:r>
    </w:p>
  </w:footnote>
  <w:footnote w:type="continuationSeparator" w:id="0">
    <w:p w:rsidR="00EC0C1B" w:rsidRDefault="00EC0C1B" w:rsidP="00FB6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F5"/>
    <w:rsid w:val="00155DB9"/>
    <w:rsid w:val="005148F5"/>
    <w:rsid w:val="00541546"/>
    <w:rsid w:val="005E27B4"/>
    <w:rsid w:val="00861687"/>
    <w:rsid w:val="00E4220C"/>
    <w:rsid w:val="00EC0C1B"/>
    <w:rsid w:val="00F54A75"/>
    <w:rsid w:val="00FB6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1B148A-207F-49EC-9703-B11F035A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F5"/>
    <w:pPr>
      <w:widowControl w:val="0"/>
      <w:jc w:val="both"/>
    </w:pPr>
    <w:rPr>
      <w:rFonts w:ascii="Calibri" w:eastAsia="宋体" w:hAnsi="Calibri" w:cs="Times New Roman"/>
      <w:szCs w:val="24"/>
    </w:rPr>
  </w:style>
  <w:style w:type="paragraph" w:styleId="1">
    <w:name w:val="heading 1"/>
    <w:basedOn w:val="a"/>
    <w:next w:val="a"/>
    <w:link w:val="10"/>
    <w:uiPriority w:val="9"/>
    <w:qFormat/>
    <w:rsid w:val="005148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148F5"/>
    <w:pPr>
      <w:spacing w:beforeAutospacing="1" w:afterAutospacing="1"/>
      <w:jc w:val="left"/>
    </w:pPr>
    <w:rPr>
      <w:kern w:val="0"/>
      <w:sz w:val="24"/>
    </w:rPr>
  </w:style>
  <w:style w:type="character" w:styleId="a4">
    <w:name w:val="Strong"/>
    <w:qFormat/>
    <w:rsid w:val="005148F5"/>
    <w:rPr>
      <w:b/>
    </w:rPr>
  </w:style>
  <w:style w:type="character" w:customStyle="1" w:styleId="10">
    <w:name w:val="标题 1 字符"/>
    <w:basedOn w:val="a0"/>
    <w:link w:val="1"/>
    <w:rsid w:val="005148F5"/>
    <w:rPr>
      <w:rFonts w:ascii="Calibri" w:eastAsia="宋体" w:hAnsi="Calibri" w:cs="Times New Roman"/>
      <w:b/>
      <w:bCs/>
      <w:kern w:val="44"/>
      <w:sz w:val="44"/>
      <w:szCs w:val="44"/>
    </w:rPr>
  </w:style>
  <w:style w:type="paragraph" w:styleId="a5">
    <w:name w:val="header"/>
    <w:basedOn w:val="a"/>
    <w:link w:val="a6"/>
    <w:uiPriority w:val="99"/>
    <w:unhideWhenUsed/>
    <w:rsid w:val="00FB652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B652A"/>
    <w:rPr>
      <w:rFonts w:ascii="Calibri" w:eastAsia="宋体" w:hAnsi="Calibri" w:cs="Times New Roman"/>
      <w:sz w:val="18"/>
      <w:szCs w:val="18"/>
    </w:rPr>
  </w:style>
  <w:style w:type="paragraph" w:styleId="a7">
    <w:name w:val="footer"/>
    <w:basedOn w:val="a"/>
    <w:link w:val="a8"/>
    <w:uiPriority w:val="99"/>
    <w:unhideWhenUsed/>
    <w:rsid w:val="00FB652A"/>
    <w:pPr>
      <w:tabs>
        <w:tab w:val="center" w:pos="4153"/>
        <w:tab w:val="right" w:pos="8306"/>
      </w:tabs>
      <w:snapToGrid w:val="0"/>
      <w:jc w:val="left"/>
    </w:pPr>
    <w:rPr>
      <w:sz w:val="18"/>
      <w:szCs w:val="18"/>
    </w:rPr>
  </w:style>
  <w:style w:type="character" w:customStyle="1" w:styleId="a8">
    <w:name w:val="页脚 字符"/>
    <w:basedOn w:val="a0"/>
    <w:link w:val="a7"/>
    <w:uiPriority w:val="99"/>
    <w:rsid w:val="00FB652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473</Characters>
  <Application>Microsoft Office Word</Application>
  <DocSecurity>0</DocSecurity>
  <Lines>3</Lines>
  <Paragraphs>1</Paragraphs>
  <ScaleCrop>false</ScaleCrop>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Optiplex3090</cp:lastModifiedBy>
  <cp:revision>2</cp:revision>
  <dcterms:created xsi:type="dcterms:W3CDTF">2024-03-26T10:06:00Z</dcterms:created>
  <dcterms:modified xsi:type="dcterms:W3CDTF">2024-03-26T10:06:00Z</dcterms:modified>
</cp:coreProperties>
</file>